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44E9" w14:textId="40706585" w:rsidR="00111571" w:rsidRPr="00EA2B51" w:rsidRDefault="00111571">
      <w:pPr>
        <w:rPr>
          <w:color w:val="4472C4" w:themeColor="accent1"/>
          <w:sz w:val="30"/>
          <w:szCs w:val="30"/>
        </w:rPr>
      </w:pPr>
      <w:r w:rsidRPr="00EA2B51">
        <w:rPr>
          <w:color w:val="4472C4" w:themeColor="accent1"/>
          <w:sz w:val="30"/>
          <w:szCs w:val="30"/>
        </w:rPr>
        <w:t>Datos Globales del Distrito:</w:t>
      </w:r>
    </w:p>
    <w:p w14:paraId="290D2ADA" w14:textId="1C1FCBFF" w:rsidR="00111571" w:rsidRDefault="00111571">
      <w:pPr>
        <w:rPr>
          <w:color w:val="4472C4" w:themeColor="accent1"/>
          <w:sz w:val="28"/>
          <w:szCs w:val="28"/>
        </w:rPr>
      </w:pPr>
      <w:r w:rsidRPr="00111571">
        <w:rPr>
          <w:noProof/>
          <w:color w:val="4472C4" w:themeColor="accent1"/>
          <w:sz w:val="28"/>
          <w:szCs w:val="28"/>
        </w:rPr>
        <w:drawing>
          <wp:inline distT="0" distB="0" distL="0" distR="0" wp14:anchorId="75FA3257" wp14:editId="28D1D2AC">
            <wp:extent cx="5815906" cy="28768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0629" cy="290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8C22F" w14:textId="4E19BAD2" w:rsidR="00EA2B51" w:rsidRPr="00EA2B51" w:rsidRDefault="00EA2B51" w:rsidP="00EA2B51">
      <w:pPr>
        <w:rPr>
          <w:color w:val="4472C4" w:themeColor="accent1"/>
          <w:sz w:val="30"/>
          <w:szCs w:val="30"/>
        </w:rPr>
      </w:pPr>
      <w:r w:rsidRPr="00EA2B51">
        <w:rPr>
          <w:color w:val="4472C4" w:themeColor="accent1"/>
          <w:sz w:val="30"/>
          <w:szCs w:val="30"/>
        </w:rPr>
        <w:t>Datos Desglosados:</w:t>
      </w:r>
    </w:p>
    <w:p w14:paraId="4C20DA3D" w14:textId="39DA3DC7" w:rsidR="00EA2B51" w:rsidRDefault="004921E5" w:rsidP="00EA2B51">
      <w:pPr>
        <w:rPr>
          <w:color w:val="4472C4" w:themeColor="accent1"/>
          <w:sz w:val="28"/>
          <w:szCs w:val="28"/>
        </w:rPr>
      </w:pPr>
      <w:r w:rsidRPr="004921E5">
        <w:rPr>
          <w:noProof/>
          <w:color w:val="4472C4" w:themeColor="accent1"/>
          <w:sz w:val="28"/>
          <w:szCs w:val="28"/>
        </w:rPr>
        <w:drawing>
          <wp:inline distT="0" distB="0" distL="0" distR="0" wp14:anchorId="0480D1FD" wp14:editId="30DCD9E9">
            <wp:extent cx="5711190" cy="3263705"/>
            <wp:effectExtent l="0" t="0" r="3810" b="0"/>
            <wp:docPr id="4" name="Picture 4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pie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4740" cy="330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FCF18" w14:textId="71DB4C24" w:rsidR="00EA2B51" w:rsidRDefault="00EA2B51" w:rsidP="00EA2B51">
      <w:pPr>
        <w:rPr>
          <w:sz w:val="28"/>
          <w:szCs w:val="28"/>
        </w:rPr>
      </w:pPr>
      <w:r w:rsidRPr="00EA2B51">
        <w:rPr>
          <w:noProof/>
          <w:sz w:val="28"/>
          <w:szCs w:val="28"/>
        </w:rPr>
        <w:lastRenderedPageBreak/>
        <w:drawing>
          <wp:inline distT="0" distB="0" distL="0" distR="0" wp14:anchorId="01949B5F" wp14:editId="5A775506">
            <wp:extent cx="5809957" cy="3007995"/>
            <wp:effectExtent l="0" t="0" r="635" b="1905"/>
            <wp:docPr id="3" name="Picture 3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pie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0995" cy="303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491A7" w14:textId="272586B4" w:rsidR="007A6D05" w:rsidRPr="00F14262" w:rsidRDefault="007A6D05" w:rsidP="00095895">
      <w:pPr>
        <w:jc w:val="both"/>
        <w:rPr>
          <w:lang w:val="es-ES"/>
        </w:rPr>
      </w:pPr>
      <w:r w:rsidRPr="00F14262">
        <w:rPr>
          <w:b/>
          <w:bCs/>
          <w:lang w:val="es-ES"/>
        </w:rPr>
        <w:t>Datos Globales:</w:t>
      </w:r>
      <w:r w:rsidR="008F1F9D" w:rsidRPr="00F14262">
        <w:rPr>
          <w:lang w:val="es-ES"/>
        </w:rPr>
        <w:t xml:space="preserve"> La siguiente gráfica muestra el porcentaje de TODOS los estudiantes en un año escolar determinado</w:t>
      </w:r>
      <w:r w:rsidR="00095895" w:rsidRPr="00F14262">
        <w:rPr>
          <w:lang w:val="es-ES"/>
        </w:rPr>
        <w:t>,</w:t>
      </w:r>
      <w:r w:rsidR="008F1F9D" w:rsidRPr="00F14262">
        <w:rPr>
          <w:lang w:val="es-ES"/>
        </w:rPr>
        <w:t xml:space="preserve"> que obtuvieron un puntaje competente o avanzado en la prueba del Sistema de Evaluación de Estudiantes de Wisconsin (WSAS). La prueba tomada incluye el Examen de Conocimientos y Conceptos de Wisconsin (WKCE)</w:t>
      </w:r>
      <w:r w:rsidR="00095895" w:rsidRPr="00F14262">
        <w:rPr>
          <w:lang w:val="es-ES"/>
        </w:rPr>
        <w:t>,</w:t>
      </w:r>
      <w:r w:rsidR="008F1F9D" w:rsidRPr="00F14262">
        <w:rPr>
          <w:lang w:val="es-ES"/>
        </w:rPr>
        <w:t xml:space="preserve"> con o sin adaptaciones y la Evaluación Alternativa de Wisconsin para Estudiantes con Discapacidades (WAA-SwD). Los resultados estatales se muestran en </w:t>
      </w:r>
      <w:r w:rsidR="00095895" w:rsidRPr="00F14262">
        <w:rPr>
          <w:lang w:val="es-ES"/>
        </w:rPr>
        <w:t xml:space="preserve">color </w:t>
      </w:r>
      <w:r w:rsidR="008F1F9D" w:rsidRPr="00F14262">
        <w:rPr>
          <w:lang w:val="es-ES"/>
        </w:rPr>
        <w:t xml:space="preserve">azul, mientras que los resultados del distrito se muestran en </w:t>
      </w:r>
      <w:r w:rsidR="00095895" w:rsidRPr="00F14262">
        <w:rPr>
          <w:lang w:val="es-ES"/>
        </w:rPr>
        <w:t>color naranja</w:t>
      </w:r>
      <w:r w:rsidR="008F1F9D" w:rsidRPr="00F14262">
        <w:rPr>
          <w:lang w:val="es-ES"/>
        </w:rPr>
        <w:t xml:space="preserve">. </w:t>
      </w:r>
      <w:r w:rsidR="00095895" w:rsidRPr="00F14262">
        <w:rPr>
          <w:lang w:val="es-ES"/>
        </w:rPr>
        <w:t xml:space="preserve">Los datos reflejan los resultados de TODOS los estudiantes, lo que significa que es </w:t>
      </w:r>
      <w:r w:rsidR="00566DE4" w:rsidRPr="00F14262">
        <w:rPr>
          <w:lang w:val="es-ES"/>
        </w:rPr>
        <w:t>cada estudiante</w:t>
      </w:r>
      <w:r w:rsidR="00095895" w:rsidRPr="00F14262">
        <w:rPr>
          <w:lang w:val="es-ES"/>
        </w:rPr>
        <w:t xml:space="preserve"> en los grados 3º, 4º, 5º, 6º, 7º, 8º y 10º.</w:t>
      </w:r>
    </w:p>
    <w:p w14:paraId="7D16B96B" w14:textId="5C6A3D3B" w:rsidR="00095895" w:rsidRDefault="00095895" w:rsidP="007A6D05">
      <w:pPr>
        <w:rPr>
          <w:sz w:val="28"/>
          <w:szCs w:val="28"/>
          <w:lang w:val="es-ES"/>
        </w:rPr>
      </w:pPr>
      <w:r w:rsidRPr="00095895">
        <w:rPr>
          <w:noProof/>
          <w:sz w:val="28"/>
          <w:szCs w:val="28"/>
          <w:lang w:val="es-ES"/>
        </w:rPr>
        <w:drawing>
          <wp:inline distT="0" distB="0" distL="0" distR="0" wp14:anchorId="607BF7BD" wp14:editId="63121234">
            <wp:extent cx="5943600" cy="35439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BEBCE" w14:textId="2E5222D7" w:rsidR="00D971C0" w:rsidRDefault="00D971C0" w:rsidP="007A6D05">
      <w:pPr>
        <w:rPr>
          <w:sz w:val="28"/>
          <w:szCs w:val="28"/>
          <w:lang w:val="es-ES"/>
        </w:rPr>
      </w:pPr>
    </w:p>
    <w:p w14:paraId="5EEC5BE7" w14:textId="77777777" w:rsidR="00F14262" w:rsidRDefault="00D971C0" w:rsidP="00D971C0">
      <w:r>
        <w:tab/>
      </w:r>
    </w:p>
    <w:p w14:paraId="0EA7EF8B" w14:textId="7CDA5499" w:rsidR="00D971C0" w:rsidRPr="001E61CC" w:rsidRDefault="00D971C0" w:rsidP="00D971C0">
      <w:pPr>
        <w:rPr>
          <w:b/>
          <w:lang w:val="es-ES"/>
        </w:rPr>
      </w:pPr>
      <w:r w:rsidRPr="001E61CC">
        <w:rPr>
          <w:b/>
          <w:bCs/>
          <w:lang w:val="es-ES"/>
        </w:rPr>
        <w:lastRenderedPageBreak/>
        <w:t>Porcentaje de estudiantes que obtienen un puntaje competente o avanzado en lectura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5"/>
        <w:gridCol w:w="1553"/>
        <w:gridCol w:w="1553"/>
        <w:gridCol w:w="1553"/>
        <w:gridCol w:w="1553"/>
        <w:gridCol w:w="1553"/>
      </w:tblGrid>
      <w:tr w:rsidR="00D971C0" w14:paraId="70B7642A" w14:textId="77777777" w:rsidTr="00C65EE9">
        <w:tc>
          <w:tcPr>
            <w:tcW w:w="1836" w:type="dxa"/>
          </w:tcPr>
          <w:p w14:paraId="5B9D501B" w14:textId="77777777" w:rsidR="00D971C0" w:rsidRPr="001E61CC" w:rsidRDefault="00D971C0" w:rsidP="00C65EE9">
            <w:pPr>
              <w:rPr>
                <w:lang w:val="es-ES"/>
              </w:rPr>
            </w:pPr>
          </w:p>
        </w:tc>
        <w:tc>
          <w:tcPr>
            <w:tcW w:w="1836" w:type="dxa"/>
          </w:tcPr>
          <w:p w14:paraId="3D1706E2" w14:textId="77777777" w:rsidR="00D971C0" w:rsidRDefault="00D971C0" w:rsidP="00C65EE9">
            <w:r>
              <w:t>2009-10</w:t>
            </w:r>
          </w:p>
        </w:tc>
        <w:tc>
          <w:tcPr>
            <w:tcW w:w="1836" w:type="dxa"/>
          </w:tcPr>
          <w:p w14:paraId="376FD53C" w14:textId="77777777" w:rsidR="00D971C0" w:rsidRDefault="00D971C0" w:rsidP="00C65EE9">
            <w:r>
              <w:t>2010-11</w:t>
            </w:r>
          </w:p>
        </w:tc>
        <w:tc>
          <w:tcPr>
            <w:tcW w:w="1836" w:type="dxa"/>
          </w:tcPr>
          <w:p w14:paraId="58541D10" w14:textId="77777777" w:rsidR="00D971C0" w:rsidRDefault="00D971C0" w:rsidP="00C65EE9">
            <w:r>
              <w:t>2011-12</w:t>
            </w:r>
          </w:p>
        </w:tc>
        <w:tc>
          <w:tcPr>
            <w:tcW w:w="1836" w:type="dxa"/>
          </w:tcPr>
          <w:p w14:paraId="2DEBC67B" w14:textId="77777777" w:rsidR="00D971C0" w:rsidRDefault="00D971C0" w:rsidP="00C65EE9">
            <w:r>
              <w:t>2012-13</w:t>
            </w:r>
          </w:p>
        </w:tc>
        <w:tc>
          <w:tcPr>
            <w:tcW w:w="1836" w:type="dxa"/>
          </w:tcPr>
          <w:p w14:paraId="492A2417" w14:textId="77777777" w:rsidR="00D971C0" w:rsidRDefault="00D971C0" w:rsidP="00C65EE9">
            <w:r>
              <w:t>2013-14</w:t>
            </w:r>
          </w:p>
        </w:tc>
      </w:tr>
      <w:tr w:rsidR="00D971C0" w14:paraId="1D4F8F6A" w14:textId="77777777" w:rsidTr="00C65EE9">
        <w:tc>
          <w:tcPr>
            <w:tcW w:w="1836" w:type="dxa"/>
          </w:tcPr>
          <w:p w14:paraId="468A88FB" w14:textId="77777777" w:rsidR="00D971C0" w:rsidRDefault="00D971C0" w:rsidP="00C65EE9">
            <w:r>
              <w:t>Estado</w:t>
            </w:r>
          </w:p>
        </w:tc>
        <w:tc>
          <w:tcPr>
            <w:tcW w:w="1836" w:type="dxa"/>
          </w:tcPr>
          <w:p w14:paraId="4BB5EA69" w14:textId="77777777" w:rsidR="00D971C0" w:rsidRDefault="00D971C0" w:rsidP="00C65EE9">
            <w:r>
              <w:t>35.5%</w:t>
            </w:r>
          </w:p>
        </w:tc>
        <w:tc>
          <w:tcPr>
            <w:tcW w:w="1836" w:type="dxa"/>
          </w:tcPr>
          <w:p w14:paraId="1CEEA732" w14:textId="77777777" w:rsidR="00D971C0" w:rsidRDefault="00D971C0" w:rsidP="00C65EE9">
            <w:r>
              <w:t>35.5%</w:t>
            </w:r>
          </w:p>
        </w:tc>
        <w:tc>
          <w:tcPr>
            <w:tcW w:w="1836" w:type="dxa"/>
          </w:tcPr>
          <w:p w14:paraId="0A90F5F8" w14:textId="77777777" w:rsidR="00D971C0" w:rsidRDefault="00D971C0" w:rsidP="00C65EE9">
            <w:r>
              <w:t>35.8%</w:t>
            </w:r>
          </w:p>
        </w:tc>
        <w:tc>
          <w:tcPr>
            <w:tcW w:w="1836" w:type="dxa"/>
          </w:tcPr>
          <w:p w14:paraId="7638E589" w14:textId="77777777" w:rsidR="00D971C0" w:rsidRDefault="00D971C0" w:rsidP="00C65EE9">
            <w:r>
              <w:t>36.2%</w:t>
            </w:r>
          </w:p>
        </w:tc>
        <w:tc>
          <w:tcPr>
            <w:tcW w:w="1836" w:type="dxa"/>
          </w:tcPr>
          <w:p w14:paraId="7FCAACAE" w14:textId="77777777" w:rsidR="00D971C0" w:rsidRDefault="00D971C0" w:rsidP="00C65EE9">
            <w:r>
              <w:t>36.6%</w:t>
            </w:r>
          </w:p>
        </w:tc>
      </w:tr>
      <w:tr w:rsidR="00D971C0" w14:paraId="78CD6741" w14:textId="77777777" w:rsidTr="00C65EE9">
        <w:tc>
          <w:tcPr>
            <w:tcW w:w="1836" w:type="dxa"/>
          </w:tcPr>
          <w:p w14:paraId="103DA742" w14:textId="77777777" w:rsidR="00D971C0" w:rsidRDefault="00D971C0" w:rsidP="00C65EE9">
            <w:r>
              <w:t>Distrito escolar</w:t>
            </w:r>
          </w:p>
        </w:tc>
        <w:tc>
          <w:tcPr>
            <w:tcW w:w="1836" w:type="dxa"/>
          </w:tcPr>
          <w:p w14:paraId="284648F9" w14:textId="77777777" w:rsidR="00D971C0" w:rsidRDefault="00D971C0" w:rsidP="00C65EE9">
            <w:r>
              <w:t>24.1%</w:t>
            </w:r>
          </w:p>
        </w:tc>
        <w:tc>
          <w:tcPr>
            <w:tcW w:w="1836" w:type="dxa"/>
          </w:tcPr>
          <w:p w14:paraId="2B6A4290" w14:textId="77777777" w:rsidR="00D971C0" w:rsidRDefault="00D971C0" w:rsidP="00C65EE9">
            <w:r>
              <w:t>23.8%</w:t>
            </w:r>
          </w:p>
        </w:tc>
        <w:tc>
          <w:tcPr>
            <w:tcW w:w="1836" w:type="dxa"/>
          </w:tcPr>
          <w:p w14:paraId="26885A71" w14:textId="77777777" w:rsidR="00D971C0" w:rsidRDefault="00D971C0" w:rsidP="00C65EE9">
            <w:r>
              <w:t>23.2%</w:t>
            </w:r>
          </w:p>
        </w:tc>
        <w:tc>
          <w:tcPr>
            <w:tcW w:w="1836" w:type="dxa"/>
          </w:tcPr>
          <w:p w14:paraId="58026981" w14:textId="77777777" w:rsidR="00D971C0" w:rsidRDefault="00D971C0" w:rsidP="00C65EE9">
            <w:r>
              <w:t>26.3%</w:t>
            </w:r>
          </w:p>
        </w:tc>
        <w:tc>
          <w:tcPr>
            <w:tcW w:w="1836" w:type="dxa"/>
          </w:tcPr>
          <w:p w14:paraId="6F966C80" w14:textId="77777777" w:rsidR="00D971C0" w:rsidRDefault="00D971C0" w:rsidP="00C65EE9">
            <w:r>
              <w:t>25.6%</w:t>
            </w:r>
          </w:p>
        </w:tc>
      </w:tr>
    </w:tbl>
    <w:p w14:paraId="200F6641" w14:textId="3E0F7969" w:rsidR="00D971C0" w:rsidRDefault="00D971C0" w:rsidP="007A6D05">
      <w:pPr>
        <w:rPr>
          <w:sz w:val="28"/>
          <w:szCs w:val="28"/>
          <w:lang w:val="es-ES"/>
        </w:rPr>
      </w:pPr>
    </w:p>
    <w:p w14:paraId="5661B578" w14:textId="77777777" w:rsidR="00D971C0" w:rsidRPr="00566DE4" w:rsidRDefault="00D971C0" w:rsidP="00566DE4">
      <w:pPr>
        <w:spacing w:after="0"/>
        <w:jc w:val="both"/>
        <w:rPr>
          <w:b/>
          <w:bCs/>
          <w:sz w:val="24"/>
          <w:szCs w:val="24"/>
          <w:lang w:val="es-ES"/>
        </w:rPr>
      </w:pPr>
      <w:r w:rsidRPr="00566DE4">
        <w:rPr>
          <w:b/>
          <w:bCs/>
          <w:sz w:val="24"/>
          <w:szCs w:val="24"/>
          <w:lang w:val="es-ES"/>
        </w:rPr>
        <w:t>Pregunta:</w:t>
      </w:r>
    </w:p>
    <w:p w14:paraId="72B19732" w14:textId="08934A53" w:rsidR="00D971C0" w:rsidRPr="00F14262" w:rsidRDefault="00D971C0" w:rsidP="00566DE4">
      <w:pPr>
        <w:spacing w:after="0"/>
        <w:jc w:val="both"/>
        <w:rPr>
          <w:lang w:val="es-ES"/>
        </w:rPr>
      </w:pPr>
      <w:r w:rsidRPr="00F14262">
        <w:rPr>
          <w:lang w:val="es-ES"/>
        </w:rPr>
        <w:t>¿Qué observaciones se pueden hacer sobre los estudiantes en este distrito escolar con base en la información de esta gráfica de barras y la tabla de datos?</w:t>
      </w:r>
    </w:p>
    <w:p w14:paraId="1596F705" w14:textId="77777777" w:rsidR="00566DE4" w:rsidRPr="00566DE4" w:rsidRDefault="00566DE4" w:rsidP="00566DE4">
      <w:pPr>
        <w:spacing w:after="0"/>
        <w:jc w:val="both"/>
        <w:rPr>
          <w:sz w:val="24"/>
          <w:szCs w:val="24"/>
          <w:lang w:val="es-ES"/>
        </w:rPr>
      </w:pPr>
    </w:p>
    <w:p w14:paraId="146E9C49" w14:textId="10C58FDC" w:rsidR="00D971C0" w:rsidRPr="00F14262" w:rsidRDefault="00D971C0" w:rsidP="00566DE4">
      <w:pPr>
        <w:spacing w:after="0"/>
        <w:jc w:val="both"/>
        <w:rPr>
          <w:b/>
          <w:bCs/>
          <w:lang w:val="es-ES"/>
        </w:rPr>
      </w:pPr>
      <w:r w:rsidRPr="00F14262">
        <w:rPr>
          <w:b/>
          <w:bCs/>
          <w:lang w:val="es-ES"/>
        </w:rPr>
        <w:t xml:space="preserve">Datos Desglosados: Porcentaje de estudiantes que obtuvieron calificaciones competentes o avanzadas en lectura en 2012-2013 por nivel de grado. </w:t>
      </w:r>
    </w:p>
    <w:p w14:paraId="0F6C6403" w14:textId="23A07C7D" w:rsidR="00D971C0" w:rsidRPr="00F14262" w:rsidRDefault="00D971C0" w:rsidP="00566DE4">
      <w:pPr>
        <w:spacing w:after="0"/>
        <w:jc w:val="both"/>
        <w:rPr>
          <w:lang w:val="es-ES"/>
        </w:rPr>
      </w:pPr>
      <w:r w:rsidRPr="00F14262">
        <w:rPr>
          <w:lang w:val="es-ES"/>
        </w:rPr>
        <w:t xml:space="preserve">Durante el año escolar 2012-2013, el 36.2% de los estudiantes en todo el estado obtuvieron un puntaje de Competente o Avanzado en el WSAS.  El 26.3% de los estudiantes del distrito obtuvieron un puntaje de Competente o Avanzado.  </w:t>
      </w:r>
      <w:r w:rsidR="003946FB" w:rsidRPr="00F14262">
        <w:rPr>
          <w:lang w:val="es-ES"/>
        </w:rPr>
        <w:t>La</w:t>
      </w:r>
      <w:r w:rsidRPr="00F14262">
        <w:rPr>
          <w:lang w:val="es-ES"/>
        </w:rPr>
        <w:t xml:space="preserve"> siguiente gráfic</w:t>
      </w:r>
      <w:r w:rsidR="003946FB" w:rsidRPr="00F14262">
        <w:rPr>
          <w:lang w:val="es-ES"/>
        </w:rPr>
        <w:t>a</w:t>
      </w:r>
      <w:r w:rsidRPr="00F14262">
        <w:rPr>
          <w:lang w:val="es-ES"/>
        </w:rPr>
        <w:t xml:space="preserve"> muestra los datos de 2012-2013 por nivel de grado.  Los resultados estatales se muestran en </w:t>
      </w:r>
      <w:r w:rsidR="003946FB" w:rsidRPr="00F14262">
        <w:rPr>
          <w:lang w:val="es-ES"/>
        </w:rPr>
        <w:t xml:space="preserve">color </w:t>
      </w:r>
      <w:r w:rsidRPr="00F14262">
        <w:rPr>
          <w:lang w:val="es-ES"/>
        </w:rPr>
        <w:t xml:space="preserve">azul, mientras que los resultados del distrito se muestran en </w:t>
      </w:r>
      <w:r w:rsidR="003946FB" w:rsidRPr="00F14262">
        <w:rPr>
          <w:lang w:val="es-ES"/>
        </w:rPr>
        <w:t>color naranja</w:t>
      </w:r>
      <w:r w:rsidRPr="00F14262">
        <w:rPr>
          <w:lang w:val="es-ES"/>
        </w:rPr>
        <w:t xml:space="preserve">.  </w:t>
      </w:r>
    </w:p>
    <w:p w14:paraId="43FB548F" w14:textId="55DB2A74" w:rsidR="00A83ECB" w:rsidRDefault="00A83ECB" w:rsidP="00D971C0">
      <w:pPr>
        <w:rPr>
          <w:sz w:val="28"/>
          <w:szCs w:val="28"/>
          <w:lang w:val="es-ES"/>
        </w:rPr>
      </w:pPr>
      <w:r w:rsidRPr="00A83ECB">
        <w:rPr>
          <w:noProof/>
          <w:sz w:val="28"/>
          <w:szCs w:val="28"/>
          <w:lang w:val="es-ES"/>
        </w:rPr>
        <w:drawing>
          <wp:inline distT="0" distB="0" distL="0" distR="0" wp14:anchorId="7CA26044" wp14:editId="3CF9CA85">
            <wp:extent cx="5943600" cy="3609340"/>
            <wp:effectExtent l="0" t="0" r="0" b="0"/>
            <wp:docPr id="6" name="Picture 6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bar 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DDC3B" w14:textId="77777777" w:rsidR="00A83ECB" w:rsidRPr="009B5FC8" w:rsidRDefault="00A83ECB" w:rsidP="00A83ECB">
      <w:pPr>
        <w:rPr>
          <w:b/>
          <w:lang w:val="es-ES"/>
        </w:rPr>
      </w:pPr>
      <w:r w:rsidRPr="009B5FC8">
        <w:rPr>
          <w:b/>
          <w:bCs/>
          <w:lang w:val="es-ES"/>
        </w:rPr>
        <w:t>Porcentaje de estudiantes que obtuvieron calificaciones competentes o avanzadas en lectura en 2012-2013 por nivel de grado: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2"/>
        <w:gridCol w:w="1189"/>
        <w:gridCol w:w="1190"/>
        <w:gridCol w:w="1190"/>
        <w:gridCol w:w="1190"/>
        <w:gridCol w:w="1229"/>
        <w:gridCol w:w="1055"/>
        <w:gridCol w:w="1055"/>
      </w:tblGrid>
      <w:tr w:rsidR="00A83ECB" w14:paraId="05F82EF7" w14:textId="77777777" w:rsidTr="00C65EE9">
        <w:tc>
          <w:tcPr>
            <w:tcW w:w="1460" w:type="dxa"/>
          </w:tcPr>
          <w:p w14:paraId="18F6727E" w14:textId="77777777" w:rsidR="00A83ECB" w:rsidRPr="009B5FC8" w:rsidRDefault="00A83ECB" w:rsidP="00C65EE9">
            <w:pPr>
              <w:rPr>
                <w:lang w:val="es-ES"/>
              </w:rPr>
            </w:pPr>
          </w:p>
        </w:tc>
        <w:tc>
          <w:tcPr>
            <w:tcW w:w="1424" w:type="dxa"/>
          </w:tcPr>
          <w:p w14:paraId="419301F2" w14:textId="77777777" w:rsidR="00A83ECB" w:rsidRDefault="00A83ECB" w:rsidP="00C65EE9">
            <w:r>
              <w:t>3</w:t>
            </w:r>
            <w:r w:rsidRPr="00AF3ADA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er</w:t>
            </w:r>
            <w:r>
              <w:t xml:space="preserve"> grado</w:t>
            </w:r>
          </w:p>
        </w:tc>
        <w:tc>
          <w:tcPr>
            <w:tcW w:w="1425" w:type="dxa"/>
          </w:tcPr>
          <w:p w14:paraId="3FBE8744" w14:textId="77777777" w:rsidR="00A83ECB" w:rsidRDefault="00A83ECB" w:rsidP="00C65EE9">
            <w:r>
              <w:t>4</w:t>
            </w:r>
            <w:r w:rsidRPr="00AF3ADA">
              <w:rPr>
                <w:vertAlign w:val="superscript"/>
              </w:rPr>
              <w:t>t</w:t>
            </w:r>
            <w:r>
              <w:rPr>
                <w:vertAlign w:val="superscript"/>
              </w:rPr>
              <w:t xml:space="preserve">o </w:t>
            </w:r>
            <w:r>
              <w:t>grado</w:t>
            </w:r>
          </w:p>
        </w:tc>
        <w:tc>
          <w:tcPr>
            <w:tcW w:w="1425" w:type="dxa"/>
          </w:tcPr>
          <w:p w14:paraId="0B581A31" w14:textId="77777777" w:rsidR="00A83ECB" w:rsidRDefault="00A83ECB" w:rsidP="00C65EE9">
            <w:r>
              <w:t>5</w:t>
            </w:r>
            <w:r w:rsidRPr="00AF3ADA">
              <w:rPr>
                <w:vertAlign w:val="superscript"/>
              </w:rPr>
              <w:t>t</w:t>
            </w:r>
            <w:r>
              <w:rPr>
                <w:vertAlign w:val="superscript"/>
              </w:rPr>
              <w:t>o</w:t>
            </w:r>
            <w:r>
              <w:t xml:space="preserve"> grado</w:t>
            </w:r>
          </w:p>
        </w:tc>
        <w:tc>
          <w:tcPr>
            <w:tcW w:w="1425" w:type="dxa"/>
          </w:tcPr>
          <w:p w14:paraId="4DF17F26" w14:textId="77777777" w:rsidR="00A83ECB" w:rsidRDefault="00A83ECB" w:rsidP="00C65EE9">
            <w:r>
              <w:t>6</w:t>
            </w:r>
            <w:r w:rsidRPr="00AF3ADA">
              <w:rPr>
                <w:vertAlign w:val="superscript"/>
              </w:rPr>
              <w:t>t</w:t>
            </w:r>
            <w:r>
              <w:rPr>
                <w:vertAlign w:val="superscript"/>
              </w:rPr>
              <w:t>o</w:t>
            </w:r>
            <w:r>
              <w:t xml:space="preserve"> grado</w:t>
            </w:r>
          </w:p>
        </w:tc>
        <w:tc>
          <w:tcPr>
            <w:tcW w:w="1425" w:type="dxa"/>
          </w:tcPr>
          <w:p w14:paraId="44A7BB3B" w14:textId="77777777" w:rsidR="00A83ECB" w:rsidRDefault="00A83ECB" w:rsidP="00C65EE9">
            <w:r>
              <w:t>7</w:t>
            </w:r>
            <w:r w:rsidRPr="00AF3ADA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mo</w:t>
            </w:r>
            <w:r>
              <w:t xml:space="preserve"> grado</w:t>
            </w:r>
          </w:p>
        </w:tc>
        <w:tc>
          <w:tcPr>
            <w:tcW w:w="1216" w:type="dxa"/>
          </w:tcPr>
          <w:p w14:paraId="71C6ABE2" w14:textId="77777777" w:rsidR="00A83ECB" w:rsidRDefault="00A83ECB" w:rsidP="00C65EE9">
            <w:r>
              <w:t>8</w:t>
            </w:r>
            <w:r>
              <w:rPr>
                <w:vertAlign w:val="superscript"/>
              </w:rPr>
              <w:t xml:space="preserve"> vo</w:t>
            </w:r>
            <w:r>
              <w:t xml:space="preserve"> grado</w:t>
            </w:r>
          </w:p>
        </w:tc>
        <w:tc>
          <w:tcPr>
            <w:tcW w:w="1216" w:type="dxa"/>
          </w:tcPr>
          <w:p w14:paraId="6DBCFB0E" w14:textId="77777777" w:rsidR="00A83ECB" w:rsidRDefault="00A83ECB" w:rsidP="00C65EE9">
            <w:r>
              <w:t>10</w:t>
            </w:r>
            <w:r>
              <w:rPr>
                <w:vertAlign w:val="superscript"/>
              </w:rPr>
              <w:t xml:space="preserve"> mo</w:t>
            </w:r>
            <w:r>
              <w:t xml:space="preserve"> grado</w:t>
            </w:r>
          </w:p>
        </w:tc>
      </w:tr>
      <w:tr w:rsidR="00A83ECB" w14:paraId="101C7DEC" w14:textId="77777777" w:rsidTr="00C65EE9">
        <w:tc>
          <w:tcPr>
            <w:tcW w:w="1460" w:type="dxa"/>
          </w:tcPr>
          <w:p w14:paraId="1D2E7C58" w14:textId="77777777" w:rsidR="00A83ECB" w:rsidRDefault="00A83ECB" w:rsidP="00C65EE9">
            <w:r>
              <w:t>Estado</w:t>
            </w:r>
          </w:p>
        </w:tc>
        <w:tc>
          <w:tcPr>
            <w:tcW w:w="1424" w:type="dxa"/>
          </w:tcPr>
          <w:p w14:paraId="1B6501CE" w14:textId="77777777" w:rsidR="00A83ECB" w:rsidRDefault="00A83ECB" w:rsidP="00C65EE9">
            <w:r>
              <w:t>34.9%</w:t>
            </w:r>
          </w:p>
        </w:tc>
        <w:tc>
          <w:tcPr>
            <w:tcW w:w="1425" w:type="dxa"/>
          </w:tcPr>
          <w:p w14:paraId="0D02FA68" w14:textId="77777777" w:rsidR="00A83ECB" w:rsidRDefault="00A83ECB" w:rsidP="00C65EE9">
            <w:r>
              <w:t>32.9%</w:t>
            </w:r>
          </w:p>
        </w:tc>
        <w:tc>
          <w:tcPr>
            <w:tcW w:w="1425" w:type="dxa"/>
          </w:tcPr>
          <w:p w14:paraId="464D0E98" w14:textId="77777777" w:rsidR="00A83ECB" w:rsidRDefault="00A83ECB" w:rsidP="00C65EE9">
            <w:r>
              <w:t>34.9%</w:t>
            </w:r>
          </w:p>
        </w:tc>
        <w:tc>
          <w:tcPr>
            <w:tcW w:w="1425" w:type="dxa"/>
          </w:tcPr>
          <w:p w14:paraId="1535BA82" w14:textId="77777777" w:rsidR="00A83ECB" w:rsidRDefault="00A83ECB" w:rsidP="00C65EE9">
            <w:r>
              <w:t>34.7%</w:t>
            </w:r>
          </w:p>
        </w:tc>
        <w:tc>
          <w:tcPr>
            <w:tcW w:w="1425" w:type="dxa"/>
          </w:tcPr>
          <w:p w14:paraId="4940C62C" w14:textId="6804C89A" w:rsidR="00A83ECB" w:rsidRDefault="00A83ECB" w:rsidP="00C65EE9">
            <w:r>
              <w:t>3</w:t>
            </w:r>
            <w:r w:rsidR="00133639">
              <w:t>6.60%</w:t>
            </w:r>
          </w:p>
        </w:tc>
        <w:tc>
          <w:tcPr>
            <w:tcW w:w="1216" w:type="dxa"/>
          </w:tcPr>
          <w:p w14:paraId="54FF619F" w14:textId="77777777" w:rsidR="00A83ECB" w:rsidRDefault="00A83ECB" w:rsidP="00C65EE9">
            <w:r>
              <w:t>40.2%</w:t>
            </w:r>
          </w:p>
        </w:tc>
        <w:tc>
          <w:tcPr>
            <w:tcW w:w="1216" w:type="dxa"/>
          </w:tcPr>
          <w:p w14:paraId="6450F038" w14:textId="77777777" w:rsidR="00A83ECB" w:rsidRDefault="00A83ECB" w:rsidP="00C65EE9">
            <w:r>
              <w:t>38.4%</w:t>
            </w:r>
          </w:p>
        </w:tc>
      </w:tr>
      <w:tr w:rsidR="00A83ECB" w14:paraId="2DFED0F7" w14:textId="77777777" w:rsidTr="00C65EE9">
        <w:tc>
          <w:tcPr>
            <w:tcW w:w="1460" w:type="dxa"/>
          </w:tcPr>
          <w:p w14:paraId="30177797" w14:textId="77777777" w:rsidR="00A83ECB" w:rsidRPr="00512B81" w:rsidRDefault="00A83ECB" w:rsidP="00C65EE9">
            <w:pPr>
              <w:rPr>
                <w:bCs/>
              </w:rPr>
            </w:pPr>
            <w:r w:rsidRPr="00512B81">
              <w:rPr>
                <w:bCs/>
              </w:rPr>
              <w:t>Distrito escolar</w:t>
            </w:r>
          </w:p>
        </w:tc>
        <w:tc>
          <w:tcPr>
            <w:tcW w:w="1424" w:type="dxa"/>
          </w:tcPr>
          <w:p w14:paraId="0F539FD2" w14:textId="77777777" w:rsidR="00A83ECB" w:rsidRDefault="00A83ECB" w:rsidP="00C65EE9">
            <w:r>
              <w:t>30.5%</w:t>
            </w:r>
          </w:p>
        </w:tc>
        <w:tc>
          <w:tcPr>
            <w:tcW w:w="1425" w:type="dxa"/>
          </w:tcPr>
          <w:p w14:paraId="1626E51A" w14:textId="77777777" w:rsidR="00A83ECB" w:rsidRDefault="00A83ECB" w:rsidP="00C65EE9">
            <w:r>
              <w:t>19.1%</w:t>
            </w:r>
          </w:p>
        </w:tc>
        <w:tc>
          <w:tcPr>
            <w:tcW w:w="1425" w:type="dxa"/>
          </w:tcPr>
          <w:p w14:paraId="6D2FD78E" w14:textId="77777777" w:rsidR="00A83ECB" w:rsidRDefault="00A83ECB" w:rsidP="00C65EE9">
            <w:r>
              <w:t>21.3%</w:t>
            </w:r>
          </w:p>
        </w:tc>
        <w:tc>
          <w:tcPr>
            <w:tcW w:w="1425" w:type="dxa"/>
          </w:tcPr>
          <w:p w14:paraId="5F6D5CDE" w14:textId="77777777" w:rsidR="00A83ECB" w:rsidRDefault="00A83ECB" w:rsidP="00C65EE9">
            <w:r>
              <w:t>24.2%</w:t>
            </w:r>
          </w:p>
        </w:tc>
        <w:tc>
          <w:tcPr>
            <w:tcW w:w="1425" w:type="dxa"/>
          </w:tcPr>
          <w:p w14:paraId="01909B47" w14:textId="0B6D7607" w:rsidR="00A83ECB" w:rsidRDefault="00A83ECB" w:rsidP="00C65EE9">
            <w:r>
              <w:t>2</w:t>
            </w:r>
            <w:r w:rsidR="00133639">
              <w:t>5.6</w:t>
            </w:r>
            <w:r>
              <w:t>0%</w:t>
            </w:r>
          </w:p>
        </w:tc>
        <w:tc>
          <w:tcPr>
            <w:tcW w:w="1216" w:type="dxa"/>
          </w:tcPr>
          <w:p w14:paraId="23A1921D" w14:textId="77777777" w:rsidR="00A83ECB" w:rsidRDefault="00A83ECB" w:rsidP="00C65EE9">
            <w:r>
              <w:t>32.0%</w:t>
            </w:r>
          </w:p>
        </w:tc>
        <w:tc>
          <w:tcPr>
            <w:tcW w:w="1216" w:type="dxa"/>
          </w:tcPr>
          <w:p w14:paraId="086F3988" w14:textId="77777777" w:rsidR="00A83ECB" w:rsidRDefault="00A83ECB" w:rsidP="00C65EE9">
            <w:r>
              <w:t>33.0%</w:t>
            </w:r>
          </w:p>
        </w:tc>
      </w:tr>
    </w:tbl>
    <w:p w14:paraId="23A3588E" w14:textId="77777777" w:rsidR="00A83ECB" w:rsidRDefault="00A83ECB" w:rsidP="00A83ECB">
      <w:pPr>
        <w:spacing w:after="0" w:line="240" w:lineRule="auto"/>
      </w:pPr>
    </w:p>
    <w:p w14:paraId="4C88FFFD" w14:textId="77777777" w:rsidR="00A83ECB" w:rsidRDefault="00A83ECB" w:rsidP="00A83ECB">
      <w:pPr>
        <w:spacing w:after="0" w:line="240" w:lineRule="auto"/>
      </w:pPr>
    </w:p>
    <w:p w14:paraId="748A37C4" w14:textId="77777777" w:rsidR="001266F2" w:rsidRPr="00566DE4" w:rsidRDefault="001266F2" w:rsidP="00566DE4">
      <w:pPr>
        <w:tabs>
          <w:tab w:val="left" w:pos="914"/>
        </w:tabs>
        <w:spacing w:after="0"/>
        <w:jc w:val="both"/>
        <w:rPr>
          <w:b/>
          <w:bCs/>
          <w:sz w:val="24"/>
          <w:szCs w:val="24"/>
          <w:lang w:val="es-ES"/>
        </w:rPr>
      </w:pPr>
      <w:r w:rsidRPr="00566DE4">
        <w:rPr>
          <w:b/>
          <w:bCs/>
          <w:sz w:val="24"/>
          <w:szCs w:val="24"/>
          <w:lang w:val="es-ES"/>
        </w:rPr>
        <w:lastRenderedPageBreak/>
        <w:t>Pregunta:</w:t>
      </w:r>
    </w:p>
    <w:p w14:paraId="758A3D55" w14:textId="2B663AC0" w:rsidR="001266F2" w:rsidRPr="00F14262" w:rsidRDefault="001266F2" w:rsidP="00566DE4">
      <w:pPr>
        <w:tabs>
          <w:tab w:val="left" w:pos="914"/>
        </w:tabs>
        <w:spacing w:after="0"/>
        <w:jc w:val="both"/>
        <w:rPr>
          <w:lang w:val="es-ES"/>
        </w:rPr>
      </w:pPr>
      <w:r w:rsidRPr="00F14262">
        <w:rPr>
          <w:lang w:val="es-ES"/>
        </w:rPr>
        <w:t>¿Qué observaciones se pueden hacer sobre los estudiantes en este distrito escolar con base en la información de esta gráfica de barras y la tabla de datos?</w:t>
      </w:r>
    </w:p>
    <w:p w14:paraId="535FCBB5" w14:textId="77777777" w:rsidR="001266F2" w:rsidRPr="00F14262" w:rsidRDefault="001266F2" w:rsidP="00566DE4">
      <w:pPr>
        <w:tabs>
          <w:tab w:val="left" w:pos="914"/>
        </w:tabs>
        <w:spacing w:after="0"/>
        <w:jc w:val="both"/>
        <w:rPr>
          <w:lang w:val="es-ES"/>
        </w:rPr>
      </w:pPr>
      <w:r w:rsidRPr="00F14262">
        <w:rPr>
          <w:lang w:val="es-ES"/>
        </w:rPr>
        <w:t>¿Cómo se comparan los datos estatales con el distrito?</w:t>
      </w:r>
    </w:p>
    <w:p w14:paraId="1D16B2E7" w14:textId="77777777" w:rsidR="001266F2" w:rsidRPr="00F14262" w:rsidRDefault="001266F2" w:rsidP="00566DE4">
      <w:pPr>
        <w:tabs>
          <w:tab w:val="left" w:pos="914"/>
        </w:tabs>
        <w:spacing w:after="0"/>
        <w:jc w:val="both"/>
        <w:rPr>
          <w:lang w:val="es-ES"/>
        </w:rPr>
      </w:pPr>
      <w:r w:rsidRPr="00F14262">
        <w:rPr>
          <w:lang w:val="es-ES"/>
        </w:rPr>
        <w:t>¿Cómo se comparan las calificaciones entre sí?</w:t>
      </w:r>
    </w:p>
    <w:p w14:paraId="57081F11" w14:textId="68BEC7B2" w:rsidR="00A83ECB" w:rsidRDefault="001266F2" w:rsidP="00A83ECB">
      <w:pPr>
        <w:tabs>
          <w:tab w:val="left" w:pos="914"/>
        </w:tabs>
        <w:rPr>
          <w:sz w:val="28"/>
          <w:szCs w:val="28"/>
          <w:lang w:val="es-ES"/>
        </w:rPr>
      </w:pPr>
      <w:r w:rsidRPr="001266F2">
        <w:rPr>
          <w:noProof/>
          <w:sz w:val="28"/>
          <w:szCs w:val="28"/>
          <w:lang w:val="es-ES"/>
        </w:rPr>
        <w:drawing>
          <wp:inline distT="0" distB="0" distL="0" distR="0" wp14:anchorId="5911C063" wp14:editId="1D91ED4D">
            <wp:extent cx="5943600" cy="42875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6F07D" w14:textId="6519F6D1" w:rsidR="001266F2" w:rsidRPr="00F14262" w:rsidRDefault="001266F2" w:rsidP="00566DE4">
      <w:pPr>
        <w:tabs>
          <w:tab w:val="left" w:pos="914"/>
        </w:tabs>
        <w:jc w:val="both"/>
        <w:rPr>
          <w:lang w:val="es-ES"/>
        </w:rPr>
      </w:pPr>
      <w:r w:rsidRPr="00F14262">
        <w:rPr>
          <w:b/>
          <w:bCs/>
          <w:lang w:val="es-ES"/>
        </w:rPr>
        <w:t>Datos desglosados:</w:t>
      </w:r>
      <w:r w:rsidRPr="00F14262">
        <w:rPr>
          <w:lang w:val="es-ES"/>
        </w:rPr>
        <w:t xml:space="preserve"> Datos del distrito que comparan a los estudiantes sin discapacidades en color azul, con los estudiantes con discapacidades en color naranja.  Estos son datos de tendencia de 2009-2010 hasta 2013-2014.  </w:t>
      </w:r>
    </w:p>
    <w:p w14:paraId="7AC80CD7" w14:textId="4D834E5B" w:rsidR="001266F2" w:rsidRDefault="001266F2" w:rsidP="00A83ECB">
      <w:pPr>
        <w:tabs>
          <w:tab w:val="left" w:pos="914"/>
        </w:tabs>
        <w:rPr>
          <w:sz w:val="28"/>
          <w:szCs w:val="28"/>
          <w:lang w:val="es-ES"/>
        </w:rPr>
      </w:pPr>
      <w:r w:rsidRPr="000236C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5F20D" wp14:editId="10190194">
                <wp:simplePos x="0" y="0"/>
                <wp:positionH relativeFrom="column">
                  <wp:posOffset>3450866</wp:posOffset>
                </wp:positionH>
                <wp:positionV relativeFrom="paragraph">
                  <wp:posOffset>467664</wp:posOffset>
                </wp:positionV>
                <wp:extent cx="2401294" cy="779228"/>
                <wp:effectExtent l="0" t="0" r="1841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294" cy="779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85B40" w14:textId="20553417" w:rsidR="00233A11" w:rsidRPr="00233A11" w:rsidRDefault="00233A11" w:rsidP="00233A1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233A11">
                              <w:rPr>
                                <w:lang w:val="es-ES"/>
                              </w:rPr>
                              <w:t>¿Qué le dice est</w:t>
                            </w:r>
                            <w:r>
                              <w:rPr>
                                <w:lang w:val="es-ES"/>
                              </w:rPr>
                              <w:t>a</w:t>
                            </w:r>
                            <w:r w:rsidRPr="00233A11">
                              <w:rPr>
                                <w:lang w:val="es-ES"/>
                              </w:rPr>
                              <w:t xml:space="preserve"> gráfic</w:t>
                            </w:r>
                            <w:r>
                              <w:rPr>
                                <w:lang w:val="es-ES"/>
                              </w:rPr>
                              <w:t>a</w:t>
                            </w:r>
                            <w:r w:rsidRPr="00233A11">
                              <w:rPr>
                                <w:lang w:val="es-ES"/>
                              </w:rPr>
                              <w:t xml:space="preserve"> de líneas sobre los estudiantes con discapacidades?</w:t>
                            </w:r>
                          </w:p>
                          <w:p w14:paraId="52EB46F9" w14:textId="77777777" w:rsidR="001266F2" w:rsidRPr="00233A11" w:rsidRDefault="001266F2" w:rsidP="00233A1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5F2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7pt;margin-top:36.8pt;width:189.1pt;height: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">
                <v:textbox>
                  <w:txbxContent>
                    <w:p w14:paraId="3DE85B40" w14:textId="20553417" w:rsidR="00233A11" w:rsidRPr="00233A11" w:rsidRDefault="00233A11" w:rsidP="00233A11">
                      <w:pPr>
                        <w:jc w:val="center"/>
                        <w:rPr>
                          <w:lang w:val="es-ES"/>
                        </w:rPr>
                      </w:pPr>
                      <w:r w:rsidRPr="00233A11">
                        <w:rPr>
                          <w:lang w:val="es-ES"/>
                        </w:rPr>
                        <w:t>¿Qué le dice est</w:t>
                      </w:r>
                      <w:r>
                        <w:rPr>
                          <w:lang w:val="es-ES"/>
                        </w:rPr>
                        <w:t>a</w:t>
                      </w:r>
                      <w:r w:rsidRPr="00233A11">
                        <w:rPr>
                          <w:lang w:val="es-ES"/>
                        </w:rPr>
                        <w:t xml:space="preserve"> gráfic</w:t>
                      </w:r>
                      <w:r>
                        <w:rPr>
                          <w:lang w:val="es-ES"/>
                        </w:rPr>
                        <w:t>a</w:t>
                      </w:r>
                      <w:r w:rsidRPr="00233A11">
                        <w:rPr>
                          <w:lang w:val="es-ES"/>
                        </w:rPr>
                        <w:t xml:space="preserve"> de líneas sobre los estudiantes con discapacidades?</w:t>
                      </w:r>
                    </w:p>
                    <w:p w14:paraId="52EB46F9" w14:textId="77777777" w:rsidR="001266F2" w:rsidRPr="00233A11" w:rsidRDefault="001266F2" w:rsidP="00233A11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66F2">
        <w:rPr>
          <w:noProof/>
          <w:sz w:val="28"/>
          <w:szCs w:val="28"/>
          <w:lang w:val="es-ES"/>
        </w:rPr>
        <w:drawing>
          <wp:inline distT="0" distB="0" distL="0" distR="0" wp14:anchorId="1DBB4817" wp14:editId="0F835995">
            <wp:extent cx="3991251" cy="2302953"/>
            <wp:effectExtent l="0" t="0" r="0" b="2540"/>
            <wp:docPr id="8" name="Picture 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line char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62587" cy="234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1C962" w14:textId="152FF3B0" w:rsidR="00584903" w:rsidRPr="00F14262" w:rsidRDefault="00584903" w:rsidP="0086541D">
      <w:pPr>
        <w:tabs>
          <w:tab w:val="left" w:pos="914"/>
        </w:tabs>
        <w:jc w:val="both"/>
        <w:rPr>
          <w:lang w:val="es-ES"/>
        </w:rPr>
      </w:pPr>
      <w:r w:rsidRPr="00F14262">
        <w:rPr>
          <w:b/>
          <w:bCs/>
          <w:lang w:val="es-ES"/>
        </w:rPr>
        <w:lastRenderedPageBreak/>
        <w:t>Datos desglosados:</w:t>
      </w:r>
      <w:r w:rsidRPr="00F14262">
        <w:rPr>
          <w:lang w:val="es-ES"/>
        </w:rPr>
        <w:t xml:space="preserve"> Esta gráfica muestra datos que comparan estudiantes sin discapacidades (SwoD) y estudiantes con discapacidades (SwD).</w:t>
      </w:r>
      <w:r w:rsidR="0086541D" w:rsidRPr="00F14262">
        <w:rPr>
          <w:lang w:val="es-ES"/>
        </w:rPr>
        <w:t xml:space="preserve"> Los </w:t>
      </w:r>
      <w:r w:rsidRPr="00F14262">
        <w:rPr>
          <w:lang w:val="es-ES"/>
        </w:rPr>
        <w:t>datos muestran los resultados a nivel estatal y los resultados de cuatro escuelas primarias del distrito.  Estos son datos del año escolar 2012-2013.</w:t>
      </w:r>
    </w:p>
    <w:p w14:paraId="02FA497D" w14:textId="769E2807" w:rsidR="00584903" w:rsidRDefault="00584903" w:rsidP="00A83ECB">
      <w:pPr>
        <w:tabs>
          <w:tab w:val="left" w:pos="914"/>
        </w:tabs>
        <w:rPr>
          <w:sz w:val="28"/>
          <w:szCs w:val="28"/>
          <w:lang w:val="es-ES"/>
        </w:rPr>
      </w:pPr>
      <w:r w:rsidRPr="00584903">
        <w:rPr>
          <w:noProof/>
          <w:sz w:val="28"/>
          <w:szCs w:val="28"/>
          <w:lang w:val="es-ES"/>
        </w:rPr>
        <w:drawing>
          <wp:inline distT="0" distB="0" distL="0" distR="0" wp14:anchorId="0143C970" wp14:editId="222DB5FF">
            <wp:extent cx="5943600" cy="36118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2810A" w14:textId="0E22F515" w:rsidR="00BD1A9B" w:rsidRPr="00F14262" w:rsidRDefault="00BD1A9B" w:rsidP="0086541D">
      <w:pPr>
        <w:jc w:val="both"/>
        <w:rPr>
          <w:lang w:val="es-ES"/>
        </w:rPr>
      </w:pPr>
      <w:r w:rsidRPr="00F14262">
        <w:rPr>
          <w:b/>
          <w:bCs/>
          <w:lang w:val="es-ES"/>
        </w:rPr>
        <w:t>Datos desglosados:</w:t>
      </w:r>
      <w:r w:rsidRPr="00F14262">
        <w:rPr>
          <w:lang w:val="es-ES"/>
        </w:rPr>
        <w:t xml:space="preserve"> 2012-2013 Porcentaje de lectura competente /avanzada en lectura que compara estudiantes no económicamente</w:t>
      </w:r>
      <w:r w:rsidR="0086541D" w:rsidRPr="00F14262">
        <w:rPr>
          <w:lang w:val="es-ES"/>
        </w:rPr>
        <w:t xml:space="preserve"> en desventaja</w:t>
      </w:r>
      <w:r w:rsidRPr="00F14262">
        <w:rPr>
          <w:lang w:val="es-ES"/>
        </w:rPr>
        <w:t xml:space="preserve"> con estudiantes económicamente </w:t>
      </w:r>
      <w:r w:rsidR="0086541D" w:rsidRPr="00F14262">
        <w:rPr>
          <w:lang w:val="es-ES"/>
        </w:rPr>
        <w:t>en desventaja</w:t>
      </w:r>
      <w:r w:rsidRPr="00F14262">
        <w:rPr>
          <w:lang w:val="es-ES"/>
        </w:rPr>
        <w:t>.</w:t>
      </w:r>
    </w:p>
    <w:p w14:paraId="3EC69098" w14:textId="51DB2C20" w:rsidR="00BD1A9B" w:rsidRPr="00BD1A9B" w:rsidRDefault="00BD1A9B" w:rsidP="00BD1A9B">
      <w:pPr>
        <w:rPr>
          <w:sz w:val="28"/>
          <w:szCs w:val="28"/>
          <w:lang w:val="es-ES"/>
        </w:rPr>
      </w:pPr>
      <w:r w:rsidRPr="00BD1A9B">
        <w:rPr>
          <w:noProof/>
          <w:sz w:val="28"/>
          <w:szCs w:val="28"/>
          <w:lang w:val="es-ES"/>
        </w:rPr>
        <w:drawing>
          <wp:inline distT="0" distB="0" distL="0" distR="0" wp14:anchorId="6038B9BD" wp14:editId="6D7A7546">
            <wp:extent cx="5943600" cy="3778250"/>
            <wp:effectExtent l="0" t="0" r="0" b="0"/>
            <wp:docPr id="11" name="Picture 11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box and whisker char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3F493" w14:textId="7724607C" w:rsidR="00F14262" w:rsidRPr="00F14262" w:rsidRDefault="00F14262" w:rsidP="00F14262">
      <w:pPr>
        <w:jc w:val="both"/>
        <w:rPr>
          <w:noProof/>
          <w:lang w:val="es-ES"/>
        </w:rPr>
      </w:pPr>
      <w:r w:rsidRPr="00F14262">
        <w:rPr>
          <w:b/>
          <w:bCs/>
          <w:noProof/>
          <w:lang w:val="es-ES"/>
        </w:rPr>
        <w:lastRenderedPageBreak/>
        <w:t>Datos desglosados:</w:t>
      </w:r>
      <w:r w:rsidRPr="00F14262">
        <w:rPr>
          <w:noProof/>
          <w:lang w:val="es-ES"/>
        </w:rPr>
        <w:t xml:space="preserve"> Los datos de tendencias sobre los porcentajes de lectura competente / avanzado se muestran en esta gráfic</w:t>
      </w:r>
      <w:r>
        <w:rPr>
          <w:noProof/>
          <w:lang w:val="es-ES"/>
        </w:rPr>
        <w:t>a</w:t>
      </w:r>
      <w:r w:rsidRPr="00F14262">
        <w:rPr>
          <w:noProof/>
          <w:lang w:val="es-ES"/>
        </w:rPr>
        <w:t xml:space="preserve"> de barras desde el año escolar 2009-2010 hasta 2013-2014.  Los datos son desglosados por escuela primaria y se comparan con los datos estatales.</w:t>
      </w:r>
    </w:p>
    <w:p w14:paraId="13DB5597" w14:textId="1C2A7356" w:rsidR="00BD1A9B" w:rsidRDefault="00BD1A9B" w:rsidP="00BD1A9B">
      <w:pPr>
        <w:rPr>
          <w:sz w:val="28"/>
          <w:szCs w:val="28"/>
          <w:lang w:val="es-ES"/>
        </w:rPr>
      </w:pPr>
      <w:r w:rsidRPr="00BD1A9B">
        <w:rPr>
          <w:noProof/>
          <w:sz w:val="28"/>
          <w:szCs w:val="28"/>
          <w:lang w:val="es-ES"/>
        </w:rPr>
        <w:drawing>
          <wp:inline distT="0" distB="0" distL="0" distR="0" wp14:anchorId="17656362" wp14:editId="1EFD84F1">
            <wp:extent cx="5943600" cy="3825240"/>
            <wp:effectExtent l="0" t="0" r="0" b="3810"/>
            <wp:docPr id="10" name="Picture 10" descr="A picture containing text, screenshot, writing implement, stationa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screenshot, writing implement, stationary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85647" w14:textId="34A2AB4C" w:rsidR="00BD1A9B" w:rsidRPr="00BD1A9B" w:rsidRDefault="00BD1A9B" w:rsidP="00BD1A9B">
      <w:pPr>
        <w:tabs>
          <w:tab w:val="left" w:pos="2529"/>
        </w:tabs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</w:p>
    <w:sectPr w:rsidR="00BD1A9B" w:rsidRPr="00BD1A9B" w:rsidSect="00095895">
      <w:headerReference w:type="default" r:id="rId16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7B74A" w14:textId="77777777" w:rsidR="00111571" w:rsidRDefault="00111571" w:rsidP="00111571">
      <w:pPr>
        <w:spacing w:after="0" w:line="240" w:lineRule="auto"/>
      </w:pPr>
      <w:r>
        <w:separator/>
      </w:r>
    </w:p>
  </w:endnote>
  <w:endnote w:type="continuationSeparator" w:id="0">
    <w:p w14:paraId="7A63C916" w14:textId="77777777" w:rsidR="00111571" w:rsidRDefault="00111571" w:rsidP="0011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DB90E" w14:textId="77777777" w:rsidR="00111571" w:rsidRDefault="00111571" w:rsidP="00111571">
      <w:pPr>
        <w:spacing w:after="0" w:line="240" w:lineRule="auto"/>
      </w:pPr>
      <w:r>
        <w:separator/>
      </w:r>
    </w:p>
  </w:footnote>
  <w:footnote w:type="continuationSeparator" w:id="0">
    <w:p w14:paraId="032699F1" w14:textId="77777777" w:rsidR="00111571" w:rsidRDefault="00111571" w:rsidP="0011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8A9E" w14:textId="1D2D9F10" w:rsidR="00111571" w:rsidRPr="00111571" w:rsidRDefault="00111571" w:rsidP="00111571">
    <w:pPr>
      <w:pStyle w:val="Header"/>
      <w:jc w:val="center"/>
      <w:rPr>
        <w:sz w:val="36"/>
        <w:szCs w:val="36"/>
        <w:lang w:val="es-ES"/>
      </w:rPr>
    </w:pPr>
    <w:r w:rsidRPr="00111571">
      <w:rPr>
        <w:sz w:val="36"/>
        <w:szCs w:val="36"/>
        <w:lang w:val="es-ES"/>
      </w:rPr>
      <w:t>Diapositiva 111A: Escenario de Ejemplo en Lectura #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71"/>
    <w:rsid w:val="00095895"/>
    <w:rsid w:val="00111571"/>
    <w:rsid w:val="001266F2"/>
    <w:rsid w:val="00133639"/>
    <w:rsid w:val="00233A11"/>
    <w:rsid w:val="003946FB"/>
    <w:rsid w:val="00490329"/>
    <w:rsid w:val="004921E5"/>
    <w:rsid w:val="00566DE4"/>
    <w:rsid w:val="00584903"/>
    <w:rsid w:val="006D6DC8"/>
    <w:rsid w:val="007A6D05"/>
    <w:rsid w:val="0086541D"/>
    <w:rsid w:val="008F1F9D"/>
    <w:rsid w:val="00A83ECB"/>
    <w:rsid w:val="00B42E79"/>
    <w:rsid w:val="00BD1A9B"/>
    <w:rsid w:val="00D971C0"/>
    <w:rsid w:val="00EA2B51"/>
    <w:rsid w:val="00F1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1990"/>
  <w15:chartTrackingRefBased/>
  <w15:docId w15:val="{4792182B-AD54-4902-BA06-DBAA313E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571"/>
  </w:style>
  <w:style w:type="paragraph" w:styleId="Footer">
    <w:name w:val="footer"/>
    <w:basedOn w:val="Normal"/>
    <w:link w:val="FooterChar"/>
    <w:uiPriority w:val="99"/>
    <w:unhideWhenUsed/>
    <w:rsid w:val="0011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571"/>
  </w:style>
  <w:style w:type="table" w:styleId="TableGrid">
    <w:name w:val="Table Grid"/>
    <w:basedOn w:val="TableNormal"/>
    <w:uiPriority w:val="59"/>
    <w:rsid w:val="00D9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Loeza</dc:creator>
  <cp:keywords/>
  <dc:description/>
  <cp:lastModifiedBy>Alejandra Loeza</cp:lastModifiedBy>
  <cp:revision>2</cp:revision>
  <dcterms:created xsi:type="dcterms:W3CDTF">2023-05-16T15:48:00Z</dcterms:created>
  <dcterms:modified xsi:type="dcterms:W3CDTF">2023-05-16T15:48:00Z</dcterms:modified>
</cp:coreProperties>
</file>